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7A" w:rsidRDefault="003C187A" w:rsidP="003C187A">
      <w:pPr>
        <w:pStyle w:val="Tekstpodstawowy"/>
        <w:ind w:left="4248"/>
        <w:jc w:val="right"/>
        <w:rPr>
          <w:rFonts w:cs="Arial"/>
          <w:bCs/>
          <w:highlight w:val="magenta"/>
        </w:rPr>
      </w:pPr>
    </w:p>
    <w:p w:rsidR="003C187A" w:rsidRDefault="003C187A" w:rsidP="003C187A">
      <w:pPr>
        <w:pStyle w:val="Tekstpodstawowy"/>
        <w:ind w:left="3540" w:firstLine="708"/>
        <w:jc w:val="right"/>
        <w:rPr>
          <w:sz w:val="18"/>
          <w:szCs w:val="18"/>
        </w:rPr>
      </w:pPr>
      <w:r>
        <w:rPr>
          <w:rFonts w:cs="Arial"/>
          <w:bCs/>
          <w:sz w:val="18"/>
          <w:szCs w:val="18"/>
        </w:rPr>
        <w:t>Załącznik nr 2</w:t>
      </w:r>
      <w:r>
        <w:rPr>
          <w:rFonts w:cs="Arial"/>
          <w:bCs/>
          <w:sz w:val="18"/>
          <w:szCs w:val="18"/>
        </w:rPr>
        <w:br/>
      </w:r>
      <w:r>
        <w:rPr>
          <w:sz w:val="18"/>
          <w:szCs w:val="18"/>
        </w:rPr>
        <w:t xml:space="preserve">do Regulaminu </w:t>
      </w:r>
      <w:r>
        <w:rPr>
          <w:rFonts w:cs="Arial"/>
          <w:sz w:val="18"/>
          <w:szCs w:val="18"/>
        </w:rPr>
        <w:t xml:space="preserve">otwartego konkursu projektów  na realizację zadań publicznych Powiatu Wielickiego dla  realizacji w 2020 roku </w:t>
      </w:r>
      <w:r>
        <w:rPr>
          <w:sz w:val="18"/>
          <w:szCs w:val="18"/>
        </w:rPr>
        <w:t xml:space="preserve">celów publicznych służących sprzyjaniu rozwojowi sportu </w:t>
      </w:r>
      <w:r>
        <w:rPr>
          <w:sz w:val="18"/>
          <w:szCs w:val="18"/>
        </w:rPr>
        <w:br/>
        <w:t>w Powiecie Wielickim</w:t>
      </w:r>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Pr>
          <w:rFonts w:ascii="Verdana" w:hAnsi="Verdana" w:cs="Verdana"/>
          <w:sz w:val="20"/>
          <w:szCs w:val="20"/>
        </w:rPr>
        <w:t xml:space="preserve">(t.j. Dz. U. z 2018 poz. 1263 z późn. zm.) </w:t>
      </w:r>
      <w:r>
        <w:rPr>
          <w:rFonts w:ascii="Verdana" w:hAnsi="Verdana" w:cs="Tahoma"/>
          <w:sz w:val="20"/>
          <w:szCs w:val="20"/>
        </w:rPr>
        <w:t xml:space="preserve">oraz Uchwałą </w:t>
      </w:r>
      <w:r>
        <w:rPr>
          <w:rFonts w:ascii="Verdana" w:hAnsi="Verdana" w:cs="Verdana"/>
          <w:sz w:val="20"/>
          <w:szCs w:val="20"/>
        </w:rPr>
        <w:t xml:space="preserve">Nr ………………. Rady Powiatu Wielickiego z dnia ……………. </w:t>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 ……………………………………………………, określonego szczegółowo we  wniosku  złożonym  przez  Wnioskodawcę w dniu …………………………., stanowiącym  załącznik  do  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1) w terminie 14 dni od daty podpisania umowy*  lub</w:t>
      </w:r>
    </w:p>
    <w:p w:rsidR="003C187A" w:rsidRDefault="003C187A" w:rsidP="003C187A">
      <w:pPr>
        <w:ind w:left="900" w:hanging="360"/>
        <w:jc w:val="both"/>
        <w:rPr>
          <w:rFonts w:ascii="Verdana" w:hAnsi="Verdana" w:cs="Tahoma"/>
          <w:sz w:val="20"/>
          <w:szCs w:val="20"/>
        </w:rPr>
      </w:pPr>
      <w:r>
        <w:rPr>
          <w:rFonts w:ascii="Verdana" w:hAnsi="Verdana" w:cs="Tahoma"/>
          <w:sz w:val="20"/>
          <w:szCs w:val="20"/>
        </w:rPr>
        <w:t>2) w następujący sposób:*</w:t>
      </w:r>
    </w:p>
    <w:p w:rsidR="003C187A" w:rsidRDefault="003C187A" w:rsidP="003C187A">
      <w:pPr>
        <w:ind w:firstLine="708"/>
        <w:jc w:val="both"/>
      </w:pPr>
      <w:r>
        <w:rPr>
          <w:rFonts w:ascii="Verdana" w:hAnsi="Verdana" w:cs="Tahoma"/>
          <w:sz w:val="20"/>
          <w:szCs w:val="20"/>
        </w:rPr>
        <w:t>I transza w wysokości ………….zł (słownie:  ………….… zł) do dnia …………………………</w:t>
      </w:r>
    </w:p>
    <w:p w:rsidR="003C187A" w:rsidRDefault="003C187A" w:rsidP="003C187A">
      <w:pPr>
        <w:ind w:firstLine="708"/>
        <w:jc w:val="both"/>
      </w:pPr>
      <w:r>
        <w:rPr>
          <w:rFonts w:ascii="Verdana" w:hAnsi="Verdana" w:cs="Tahoma"/>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lastRenderedPageBreak/>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(t.j. Dz. U. z 2018 r.  poz. 395 z późn. zm.) 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 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Podstawą do przeprowadzenia kontroli jest pisemne upoważnienie Starosty Wielickiego określające imię i nazwisko osoby przeprowadzającej kontrolę, nazwę kontrolowanej jednostki,  czas i zakres przedmiotowy kontroli z uwzględnieniem 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lastRenderedPageBreak/>
        <w:t>Podstawą zastrzeżeń z ust. 7 może być zakwestionowanie zgodności ustaleń kontroli ze stanem faktycznym lub zakwestionowanie interpretacji prawa zawartej w 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3C187A" w:rsidRDefault="003C187A" w:rsidP="003C187A">
      <w:pPr>
        <w:numPr>
          <w:ilvl w:val="0"/>
          <w:numId w:val="12"/>
        </w:numPr>
        <w:tabs>
          <w:tab w:val="left" w:pos="180"/>
        </w:tabs>
        <w:ind w:left="360"/>
        <w:jc w:val="both"/>
      </w:pPr>
      <w:r>
        <w:rPr>
          <w:rFonts w:ascii="Verdana" w:hAnsi="Verdana" w:cs="Tahoma"/>
          <w:sz w:val="20"/>
          <w:szCs w:val="20"/>
        </w:rPr>
        <w:t xml:space="preserve">Zleceniodawca może żądać </w:t>
      </w:r>
      <w:r>
        <w:rPr>
          <w:rFonts w:ascii="Verdana" w:hAnsi="Verdana" w:cs="Tahoma"/>
          <w:i/>
          <w:sz w:val="20"/>
          <w:szCs w:val="20"/>
        </w:rPr>
        <w:t>częściowych rozliczeń</w:t>
      </w:r>
      <w:r>
        <w:rPr>
          <w:rFonts w:ascii="Verdana" w:hAnsi="Verdana" w:cs="Tahoma"/>
          <w:sz w:val="20"/>
          <w:szCs w:val="20"/>
        </w:rPr>
        <w:t xml:space="preserve"> z wykonywania zadania według wzoru formularza sprawozdania z wykonania zadania stanowiącego Załącznik nr 3 do Regulaminu </w:t>
      </w:r>
      <w:r>
        <w:rPr>
          <w:rFonts w:ascii="Verdana" w:hAnsi="Verdana" w:cs="Arial"/>
          <w:i/>
          <w:sz w:val="20"/>
          <w:szCs w:val="20"/>
        </w:rPr>
        <w:t xml:space="preserve">otwartego konkursu projektów  na realizację zadań publicznych Powiatu Wielickiego dla  realizacji w 2019 roku </w:t>
      </w:r>
      <w:r>
        <w:rPr>
          <w:rFonts w:ascii="Verdana" w:hAnsi="Verdana" w:cs="Verdana"/>
          <w:i/>
          <w:sz w:val="20"/>
          <w:szCs w:val="20"/>
        </w:rPr>
        <w:t>celów publicznych służących poprawie warunków uprawiania sportu na terenie Powiatu Wielickiego, zwiększeniu dostępności mieszkańców do działalności sportowej, popularyzacji uprawiania sportu dla podnoszenia sprawności fizycznej oraz kreowaniu pozytywnego wizerunku Powiatu Wielickiego poprzez współzawodnictwo sportowe na wszelkich poziomach</w:t>
      </w:r>
      <w:r>
        <w:rPr>
          <w:rFonts w:ascii="Verdana" w:hAnsi="Verdana" w:cs="Tahoma"/>
          <w:i/>
          <w:sz w:val="20"/>
          <w:szCs w:val="20"/>
        </w:rPr>
        <w:t>.</w:t>
      </w:r>
    </w:p>
    <w:p w:rsidR="003C187A" w:rsidRDefault="003C187A" w:rsidP="003C187A">
      <w:pPr>
        <w:numPr>
          <w:ilvl w:val="0"/>
          <w:numId w:val="12"/>
        </w:numPr>
        <w:tabs>
          <w:tab w:val="left" w:pos="180"/>
        </w:tabs>
        <w:ind w:left="360"/>
        <w:jc w:val="both"/>
        <w:rPr>
          <w:rFonts w:ascii="Verdana" w:hAnsi="Verdana" w:cs="Tahoma"/>
          <w:sz w:val="20"/>
          <w:szCs w:val="20"/>
        </w:rPr>
      </w:pPr>
      <w:r>
        <w:rPr>
          <w:rFonts w:ascii="Verdana" w:hAnsi="Verdana" w:cs="Tahoma"/>
          <w:sz w:val="20"/>
          <w:szCs w:val="20"/>
        </w:rPr>
        <w:t>Rozliczenia częściowe należy złożyć w następujących terminach*:</w:t>
      </w:r>
    </w:p>
    <w:p w:rsidR="003C187A" w:rsidRDefault="003C187A" w:rsidP="003C187A">
      <w:pPr>
        <w:ind w:firstLine="708"/>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3C187A">
      <w:pPr>
        <w:tabs>
          <w:tab w:val="left" w:pos="3690"/>
          <w:tab w:val="left" w:pos="7335"/>
        </w:tabs>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ind w:firstLine="708"/>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3C187A">
      <w:pPr>
        <w:tabs>
          <w:tab w:val="left" w:pos="3690"/>
          <w:tab w:val="left" w:pos="7335"/>
        </w:tabs>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tabs>
          <w:tab w:val="left" w:pos="3690"/>
          <w:tab w:val="left" w:pos="7335"/>
        </w:tabs>
        <w:ind w:left="360" w:hanging="360"/>
        <w:jc w:val="both"/>
      </w:pPr>
      <w:r>
        <w:rPr>
          <w:rFonts w:ascii="Verdana" w:hAnsi="Verdana" w:cs="Verdana"/>
          <w:sz w:val="20"/>
          <w:szCs w:val="20"/>
        </w:rPr>
        <w:t xml:space="preserve">3. Niezłożenie  przez  Zleceniobiorcę w terminach  określonych w ust. 2  kompletnego </w:t>
      </w:r>
      <w:r>
        <w:rPr>
          <w:rFonts w:ascii="Verdana" w:hAnsi="Verdana" w:cs="Verdana"/>
          <w:sz w:val="20"/>
          <w:szCs w:val="20"/>
        </w:rPr>
        <w:br/>
        <w:t xml:space="preserve">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możliwością zastosowania sankcji,  </w:t>
      </w:r>
      <w:r>
        <w:rPr>
          <w:rFonts w:ascii="Verdana" w:hAnsi="Verdana" w:cs="Verdana"/>
          <w:sz w:val="20"/>
          <w:szCs w:val="20"/>
        </w:rPr>
        <w:br/>
        <w:t>o  których mowa w § 13.</w:t>
      </w:r>
    </w:p>
    <w:p w:rsidR="003C187A" w:rsidRDefault="003C187A" w:rsidP="003C187A">
      <w:pPr>
        <w:numPr>
          <w:ilvl w:val="0"/>
          <w:numId w:val="17"/>
        </w:numPr>
        <w:tabs>
          <w:tab w:val="left" w:pos="360"/>
          <w:tab w:val="left" w:pos="3690"/>
          <w:tab w:val="left" w:pos="7335"/>
        </w:tabs>
        <w:ind w:left="360"/>
        <w:jc w:val="both"/>
        <w:rPr>
          <w:rFonts w:ascii="Verdana" w:hAnsi="Verdana" w:cs="Verdana"/>
          <w:sz w:val="20"/>
          <w:szCs w:val="20"/>
        </w:rPr>
      </w:pPr>
      <w:r>
        <w:rPr>
          <w:rFonts w:ascii="Verdana" w:hAnsi="Verdana" w:cs="Verdana"/>
          <w:sz w:val="20"/>
          <w:szCs w:val="20"/>
        </w:rPr>
        <w:t>Zleceniobiorca dokonuje końcowego rozliczenia wydatków poniesionych na realizację projektu na podstawie S</w:t>
      </w:r>
      <w:r>
        <w:rPr>
          <w:rFonts w:ascii="Verdana" w:hAnsi="Verdana" w:cs="Verdana"/>
          <w:i/>
          <w:sz w:val="20"/>
          <w:szCs w:val="20"/>
        </w:rPr>
        <w:t>prawozdania całkowitego</w:t>
      </w:r>
      <w:r>
        <w:rPr>
          <w:rFonts w:ascii="Verdana" w:hAnsi="Verdana" w:cs="Verdana"/>
          <w:sz w:val="20"/>
          <w:szCs w:val="20"/>
        </w:rPr>
        <w:t xml:space="preserve"> stanowiącego złącznik nr 3 do Regulaminu. </w:t>
      </w:r>
    </w:p>
    <w:p w:rsidR="003C187A" w:rsidRDefault="003C187A" w:rsidP="003C187A">
      <w:pPr>
        <w:numPr>
          <w:ilvl w:val="0"/>
          <w:numId w:val="17"/>
        </w:numPr>
        <w:tabs>
          <w:tab w:val="left" w:pos="360"/>
          <w:tab w:val="left" w:pos="3690"/>
          <w:tab w:val="left" w:pos="7335"/>
        </w:tabs>
        <w:ind w:left="360"/>
        <w:jc w:val="both"/>
      </w:pPr>
      <w:r>
        <w:rPr>
          <w:rFonts w:ascii="Verdana" w:hAnsi="Verdana" w:cs="Verdana"/>
          <w:sz w:val="20"/>
          <w:szCs w:val="20"/>
        </w:rPr>
        <w:t>Do Sprawozdania (częściowego lub końcowego) należy dołączyć oryginały lub poświadczone „za zgodność o oryginałem” kserokopie dowodów księgowych dokumentujących poniesione koszty w tym: faktury i rachunki, które całości lub części zostały sfinansowane ze środków z dotacji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data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wyczerpujący i dokładny opis merytoryczny zadania (w tym czas i miejsce),</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art. 4 pkt 8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lastRenderedPageBreak/>
        <w:t xml:space="preserve">7. </w:t>
      </w:r>
      <w:r>
        <w:rPr>
          <w:rFonts w:ascii="Verdana" w:eastAsia="UniversPro-Roman;Times New Roma" w:hAnsi="Verdana" w:cs="UniversPro-Roman;Times New Roma"/>
          <w:sz w:val="20"/>
          <w:szCs w:val="20"/>
        </w:rPr>
        <w:t>W przypadku dołączenia do sprawozdania kserokopii dokumentów, o których mowa w ust. 5,  muszą one zostać potwierdzone dwustronnie „za zgodność z oryginałem” 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 xml:space="preserve">Sprawozdanie całkowite z wykonania projektu powinno zostać sporządzone przez Zleceniobiorcę i dostarczone Zleceniodawcy w terminie 30 dni liczonym od następnego dnia od daty zakończenia zadania, </w:t>
      </w:r>
      <w:r>
        <w:rPr>
          <w:rFonts w:ascii="Verdana" w:hAnsi="Verdana" w:cs="Tahoma"/>
          <w:b/>
          <w:sz w:val="20"/>
          <w:szCs w:val="20"/>
        </w:rPr>
        <w:b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Pr>
          <w:rFonts w:ascii="Verdana" w:hAnsi="Verdana" w:cs="Verdana"/>
          <w:sz w:val="20"/>
          <w:szCs w:val="20"/>
        </w:rPr>
        <w:t xml:space="preserve">03 8619 0006 0010 0200 8370 0012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lastRenderedPageBreak/>
        <w:t>§ 11</w:t>
      </w:r>
    </w:p>
    <w:p w:rsidR="003C187A" w:rsidRDefault="003C187A" w:rsidP="003C187A">
      <w:pPr>
        <w:jc w:val="both"/>
      </w:pPr>
      <w:r>
        <w:rPr>
          <w:rFonts w:ascii="Verdana" w:hAnsi="Verdana" w:cs="Tahoma"/>
          <w:sz w:val="20"/>
          <w:szCs w:val="20"/>
        </w:rPr>
        <w:t>Do zamówień na dostawy oraz usługi i roboty budowlane opłacanych ze środków pochodzących  z dotacji Zleceniobiorca stosuje przepisy ustawy z dnia 29 stycznia 2004 r. - Prawo zamówień publicznych (t.j. Dz. U. z 2018 r. poz. 1986 z póżn. zm.).</w:t>
      </w:r>
    </w:p>
    <w:p w:rsidR="003C187A" w:rsidRDefault="003C187A" w:rsidP="003C187A">
      <w:pPr>
        <w:pStyle w:val="StylaciskiVerdana10ptWyrwnanydorodka"/>
        <w:rPr>
          <w:b/>
        </w:rPr>
      </w:pPr>
      <w:r>
        <w:rPr>
          <w:b/>
        </w:rPr>
        <w:t>§ 12</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na mocy porozumienia Stron w przypadku wystąpienia okoliczności, za które Strony nie ponoszą odpowiedzialności, a które uniemożliwiają wykonywanie umowy.</w:t>
      </w:r>
    </w:p>
    <w:p w:rsidR="003C187A" w:rsidRDefault="003C187A" w:rsidP="003C187A">
      <w:pPr>
        <w:numPr>
          <w:ilvl w:val="0"/>
          <w:numId w:val="6"/>
        </w:numPr>
        <w:tabs>
          <w:tab w:val="clear" w:pos="720"/>
          <w:tab w:val="left" w:pos="360"/>
        </w:tabs>
        <w:ind w:left="360"/>
        <w:jc w:val="both"/>
        <w:rPr>
          <w:rFonts w:ascii="Verdana" w:hAnsi="Verdana" w:cs="Tahoma"/>
          <w:sz w:val="20"/>
          <w:szCs w:val="20"/>
        </w:rPr>
      </w:pPr>
      <w:r>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przez Zleceniodawcę ze skutkiem natychmiastowym 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 stwierdzonych nieprawidłowości.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o których mowa w ust. 1, wraz </w:t>
      </w:r>
      <w:r>
        <w:rPr>
          <w:rFonts w:ascii="Verdana" w:hAnsi="Verdana" w:cs="Tahoma"/>
          <w:sz w:val="20"/>
          <w:szCs w:val="20"/>
        </w:rPr>
        <w:br/>
        <w:t xml:space="preserve">z odsetkami 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3C187A" w:rsidRDefault="003C187A" w:rsidP="003C187A">
      <w:pPr>
        <w:jc w:val="center"/>
        <w:rPr>
          <w:rFonts w:ascii="Verdana" w:hAnsi="Verdana" w:cs="Tahoma"/>
          <w:b/>
          <w:sz w:val="20"/>
          <w:szCs w:val="20"/>
        </w:rPr>
      </w:pPr>
      <w:r>
        <w:rPr>
          <w:rFonts w:ascii="Verdana" w:hAnsi="Verdana" w:cs="Verdana"/>
          <w:b/>
          <w:sz w:val="20"/>
          <w:szCs w:val="20"/>
        </w:rPr>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każdym przypadku, gdy odpowiedzialnym za szkody spowodowane w wyniku realizacji niniejszego zadania zostanie uznany Zleceniodawca, Zleceniobiorca zobowiązuje się do pokrycia wszelkich kosztów poniesionych z tego tytułu przez 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lastRenderedPageBreak/>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7"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(Dz. U.  2018 r. poz.  1025  z  późn. zm.)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(t.j. Dz. U. 2017 r. poz. 2077 </w:t>
      </w:r>
      <w:r>
        <w:rPr>
          <w:rFonts w:ascii="Verdana" w:hAnsi="Verdana" w:cs="Tahoma"/>
          <w:sz w:val="20"/>
          <w:szCs w:val="20"/>
        </w:rPr>
        <w:br/>
        <w:t>z późn. zm.).   Zleceniobiorca   oświadcza,   że   znane   są  mu    obowiązki   wynikające    z przepisów prawa.</w:t>
      </w:r>
    </w:p>
    <w:p w:rsidR="003C187A" w:rsidRDefault="003C187A" w:rsidP="003C187A">
      <w:pPr>
        <w:pStyle w:val="StylaciskiVerdana10ptWyrwnanydorodka"/>
        <w:rPr>
          <w:b/>
        </w:rPr>
      </w:pPr>
      <w:r>
        <w:rPr>
          <w:b/>
        </w:rPr>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lastRenderedPageBreak/>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Default="003C187A" w:rsidP="003C187A">
      <w:pPr>
        <w:jc w:val="both"/>
        <w:rPr>
          <w:rFonts w:ascii="Verdana" w:hAnsi="Verdana" w:cs="Tahoma"/>
          <w:sz w:val="20"/>
          <w:szCs w:val="20"/>
        </w:rPr>
      </w:pPr>
      <w:r>
        <w:rPr>
          <w:rFonts w:ascii="Verdana" w:hAnsi="Verdana" w:cs="Tahoma"/>
          <w:sz w:val="20"/>
          <w:szCs w:val="20"/>
        </w:rPr>
        <w:t xml:space="preserve">1) wniosek o realizację zadania publicznego złożony według wzoru określonego </w:t>
      </w:r>
      <w:r>
        <w:rPr>
          <w:rFonts w:ascii="Verdana" w:hAnsi="Verdana" w:cs="Tahoma"/>
          <w:sz w:val="20"/>
          <w:szCs w:val="20"/>
        </w:rPr>
        <w:br/>
        <w:t>w załączniku nr 1 do uchwały,</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3C187A" w:rsidRDefault="003C187A" w:rsidP="003C187A">
      <w:pPr>
        <w:jc w:val="both"/>
        <w:rPr>
          <w:rFonts w:ascii="Verdana" w:hAnsi="Verdana" w:cs="Tahoma"/>
          <w:sz w:val="20"/>
          <w:szCs w:val="20"/>
        </w:rPr>
      </w:pPr>
      <w:r>
        <w:rPr>
          <w:rFonts w:ascii="Verdana" w:hAnsi="Verdana" w:cs="Tahoma"/>
          <w:sz w:val="20"/>
          <w:szCs w:val="20"/>
        </w:rPr>
        <w:t xml:space="preserve">3) </w:t>
      </w:r>
      <w:r w:rsidRPr="00E619D0">
        <w:rPr>
          <w:rFonts w:ascii="Verdana" w:hAnsi="Verdana" w:cs="Verdana"/>
          <w:sz w:val="18"/>
          <w:szCs w:val="18"/>
        </w:rPr>
        <w:t xml:space="preserve">Informacja  dotycząca przetwarzania danych osobowych w Starostwie Powiatowym </w:t>
      </w:r>
      <w:r w:rsidRPr="00E619D0">
        <w:rPr>
          <w:rFonts w:ascii="Verdana" w:hAnsi="Verdana" w:cs="Verdana"/>
          <w:sz w:val="18"/>
          <w:szCs w:val="18"/>
        </w:rPr>
        <w:br/>
        <w:t>w Wieliczce</w:t>
      </w: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8"/>
      <w:pgSz w:w="11906" w:h="16838"/>
      <w:pgMar w:top="1418" w:right="1418" w:bottom="1418" w:left="1701"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D1" w:rsidRDefault="008342D1" w:rsidP="003C187A">
      <w:r>
        <w:separator/>
      </w:r>
    </w:p>
  </w:endnote>
  <w:endnote w:type="continuationSeparator" w:id="1">
    <w:p w:rsidR="008342D1" w:rsidRDefault="008342D1" w:rsidP="003C187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A" w:rsidRDefault="008342D1">
    <w:pPr>
      <w:pStyle w:val="Stopka1"/>
      <w:ind w:right="360"/>
    </w:pPr>
    <w:r>
      <w:pict>
        <v:rect id="_x0000_s1025" style="position:absolute;margin-left:-180.8pt;margin-top:2.05pt;width:18.75pt;height:29.55pt;z-index:251660288;mso-wrap-distance-left:0;mso-wrap-distance-right:0;mso-position-horizontal:right;mso-position-horizontal-relative:margin" strokecolor="white [3212]">
          <v:fill opacity="0"/>
          <v:textbox style="mso-next-textbox:#_x0000_s1025" inset="0,0,0,0">
            <w:txbxContent>
              <w:p w:rsidR="0023166A" w:rsidRDefault="008342D1">
                <w:pPr>
                  <w:pStyle w:val="Stopka1"/>
                  <w:rPr>
                    <w:rStyle w:val="Numerstron"/>
                  </w:rPr>
                </w:pPr>
                <w:r>
                  <w:rPr>
                    <w:rStyle w:val="Numerstron"/>
                  </w:rPr>
                  <w:fldChar w:fldCharType="begin"/>
                </w:r>
                <w:r>
                  <w:rPr>
                    <w:rStyle w:val="Numerstron"/>
                  </w:rPr>
                  <w:instrText>PAGE</w:instrText>
                </w:r>
                <w:r>
                  <w:rPr>
                    <w:rStyle w:val="Numerstron"/>
                  </w:rPr>
                  <w:fldChar w:fldCharType="separate"/>
                </w:r>
                <w:r w:rsidR="00A040F4">
                  <w:rPr>
                    <w:rStyle w:val="Numerstron"/>
                    <w:noProof/>
                  </w:rPr>
                  <w:t>7</w:t>
                </w:r>
                <w:r>
                  <w:rPr>
                    <w:rStyle w:val="Numerstron"/>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D1" w:rsidRDefault="008342D1" w:rsidP="003C187A">
      <w:r>
        <w:separator/>
      </w:r>
    </w:p>
  </w:footnote>
  <w:footnote w:type="continuationSeparator" w:id="1">
    <w:p w:rsidR="008342D1" w:rsidRDefault="008342D1" w:rsidP="003C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18"/>
  </w:num>
  <w:num w:numId="4">
    <w:abstractNumId w:val="20"/>
  </w:num>
  <w:num w:numId="5">
    <w:abstractNumId w:val="12"/>
  </w:num>
  <w:num w:numId="6">
    <w:abstractNumId w:val="16"/>
  </w:num>
  <w:num w:numId="7">
    <w:abstractNumId w:val="15"/>
  </w:num>
  <w:num w:numId="8">
    <w:abstractNumId w:val="8"/>
  </w:num>
  <w:num w:numId="9">
    <w:abstractNumId w:val="2"/>
  </w:num>
  <w:num w:numId="10">
    <w:abstractNumId w:val="9"/>
  </w:num>
  <w:num w:numId="11">
    <w:abstractNumId w:val="1"/>
  </w:num>
  <w:num w:numId="12">
    <w:abstractNumId w:val="17"/>
  </w:num>
  <w:num w:numId="13">
    <w:abstractNumId w:val="0"/>
  </w:num>
  <w:num w:numId="14">
    <w:abstractNumId w:val="14"/>
  </w:num>
  <w:num w:numId="15">
    <w:abstractNumId w:val="10"/>
  </w:num>
  <w:num w:numId="16">
    <w:abstractNumId w:val="6"/>
  </w:num>
  <w:num w:numId="17">
    <w:abstractNumId w:val="13"/>
  </w:num>
  <w:num w:numId="18">
    <w:abstractNumId w:val="3"/>
  </w:num>
  <w:num w:numId="19">
    <w:abstractNumId w:val="4"/>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C187A"/>
    <w:rsid w:val="003C187A"/>
    <w:rsid w:val="008342D1"/>
    <w:rsid w:val="00A040F4"/>
    <w:rsid w:val="00B12A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ps.ms.gov.pl/pl-Pl/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2933</Words>
  <Characters>17604</Characters>
  <Application>Microsoft Office Word</Application>
  <DocSecurity>0</DocSecurity>
  <Lines>146</Lines>
  <Paragraphs>40</Paragraphs>
  <ScaleCrop>false</ScaleCrop>
  <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boduchj</cp:lastModifiedBy>
  <cp:revision>3</cp:revision>
  <dcterms:created xsi:type="dcterms:W3CDTF">2020-06-01T06:49:00Z</dcterms:created>
  <dcterms:modified xsi:type="dcterms:W3CDTF">2020-06-01T06:53:00Z</dcterms:modified>
</cp:coreProperties>
</file>