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73" w:rsidRDefault="00D13773" w:rsidP="00D13773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D13773" w:rsidRPr="0083234A" w:rsidRDefault="00D13773" w:rsidP="005C6D6D">
      <w:pPr>
        <w:ind w:left="504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>otwartego konkursu ofert na realizację zadań publicznych Powiatu Wielickiego w 202</w:t>
      </w:r>
      <w:r w:rsidR="00514FEB">
        <w:rPr>
          <w:rFonts w:ascii="Verdana" w:hAnsi="Verdana" w:cs="Verdana"/>
          <w:sz w:val="20"/>
          <w:szCs w:val="20"/>
        </w:rPr>
        <w:t>1</w:t>
      </w:r>
      <w:r w:rsidRPr="0083234A">
        <w:rPr>
          <w:rFonts w:ascii="Verdana" w:hAnsi="Verdana" w:cs="Verdana"/>
          <w:sz w:val="20"/>
          <w:szCs w:val="20"/>
        </w:rPr>
        <w:t xml:space="preserve"> roku w dziedzinie ochrony środowiska i przyrody </w:t>
      </w:r>
      <w:r>
        <w:rPr>
          <w:rFonts w:ascii="Verdana" w:hAnsi="Verdana" w:cs="Verdana"/>
          <w:sz w:val="20"/>
          <w:szCs w:val="20"/>
        </w:rPr>
        <w:br/>
      </w:r>
      <w:r w:rsidRPr="0083234A">
        <w:rPr>
          <w:rFonts w:ascii="Verdana" w:hAnsi="Verdana" w:cs="Verdana"/>
          <w:sz w:val="20"/>
          <w:szCs w:val="20"/>
        </w:rPr>
        <w:t>pn. „Pszczoła w Powiecie Wielickim”</w:t>
      </w: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 xml:space="preserve">II. Dane oferenta(-tów)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4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5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6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</w:t>
      </w:r>
      <w:bookmarkStart w:id="0" w:name="_GoBack"/>
      <w:bookmarkEnd w:id="0"/>
      <w:r>
        <w:rPr>
          <w:rFonts w:ascii="Calibri" w:hAnsi="Calibri" w:cs="Verdana"/>
          <w:sz w:val="18"/>
          <w:szCs w:val="18"/>
        </w:rPr>
        <w:t>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oferenta(-tów);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6A" w:rsidRDefault="0083476A" w:rsidP="00EB18C6">
      <w:r>
        <w:separator/>
      </w:r>
    </w:p>
  </w:endnote>
  <w:endnote w:type="continuationSeparator" w:id="1">
    <w:p w:rsidR="0083476A" w:rsidRDefault="0083476A" w:rsidP="00EB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6A" w:rsidRDefault="0083476A">
      <w:r>
        <w:separator/>
      </w:r>
    </w:p>
  </w:footnote>
  <w:footnote w:type="continuationSeparator" w:id="1">
    <w:p w:rsidR="0083476A" w:rsidRDefault="0083476A">
      <w:r>
        <w:continuationSeparator/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5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6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Sekcję V.C należy uzupełnić w przypadku realizacji zadania w partnerstwie.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671D"/>
    <w:multiLevelType w:val="multilevel"/>
    <w:tmpl w:val="32B8175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18C6"/>
    <w:rsid w:val="00002A67"/>
    <w:rsid w:val="0007244F"/>
    <w:rsid w:val="00124060"/>
    <w:rsid w:val="00154ADE"/>
    <w:rsid w:val="00213FA1"/>
    <w:rsid w:val="0022040D"/>
    <w:rsid w:val="00474C8E"/>
    <w:rsid w:val="004D7C3C"/>
    <w:rsid w:val="00514FEB"/>
    <w:rsid w:val="00586147"/>
    <w:rsid w:val="005C62BF"/>
    <w:rsid w:val="005C6D6D"/>
    <w:rsid w:val="00641635"/>
    <w:rsid w:val="00694410"/>
    <w:rsid w:val="006A359C"/>
    <w:rsid w:val="008075CA"/>
    <w:rsid w:val="0083234A"/>
    <w:rsid w:val="0083270D"/>
    <w:rsid w:val="0083476A"/>
    <w:rsid w:val="00873E3E"/>
    <w:rsid w:val="00875B41"/>
    <w:rsid w:val="0088144D"/>
    <w:rsid w:val="008B0A8D"/>
    <w:rsid w:val="00910140"/>
    <w:rsid w:val="00A1365A"/>
    <w:rsid w:val="00A34EE7"/>
    <w:rsid w:val="00B85936"/>
    <w:rsid w:val="00C047D7"/>
    <w:rsid w:val="00D13773"/>
    <w:rsid w:val="00E32B58"/>
    <w:rsid w:val="00EB18C6"/>
    <w:rsid w:val="00F95FB0"/>
    <w:rsid w:val="00FE6C21"/>
    <w:rsid w:val="00FF0405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Heading2">
    <w:name w:val="Heading 2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4">
    <w:name w:val="Heading 4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Caption">
    <w:name w:val="Caption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FootnoteText">
    <w:name w:val="Footnote Text"/>
    <w:basedOn w:val="Normalny"/>
    <w:rsid w:val="00EB18C6"/>
    <w:rPr>
      <w:sz w:val="20"/>
      <w:szCs w:val="20"/>
    </w:rPr>
  </w:style>
  <w:style w:type="paragraph" w:customStyle="1" w:styleId="EndnoteText">
    <w:name w:val="Endnote Text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rsid w:val="00EB18C6"/>
  </w:style>
  <w:style w:type="paragraph" w:customStyle="1" w:styleId="Footer">
    <w:name w:val="Footer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boduchj</cp:lastModifiedBy>
  <cp:revision>4</cp:revision>
  <cp:lastPrinted>2020-01-15T10:27:00Z</cp:lastPrinted>
  <dcterms:created xsi:type="dcterms:W3CDTF">2020-01-15T11:50:00Z</dcterms:created>
  <dcterms:modified xsi:type="dcterms:W3CDTF">2020-12-23T13:33:00Z</dcterms:modified>
  <dc:language>pl-PL</dc:language>
</cp:coreProperties>
</file>