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560B33" w:rsidRPr="00F2524D" w:rsidRDefault="00560B33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</w:t>
      </w:r>
      <w:r w:rsidR="00A850E2">
        <w:t xml:space="preserve">Nr </w:t>
      </w:r>
      <w:r w:rsidR="00076AFB">
        <w:t>ESZ.524.I.</w:t>
      </w:r>
      <w:r w:rsidR="00F40B3C">
        <w:t>3.2.</w:t>
      </w:r>
      <w:r w:rsidR="00EF5937">
        <w:t>2023</w:t>
      </w:r>
    </w:p>
    <w:p w:rsidR="00560B33" w:rsidRDefault="00560B33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  <w:r w:rsidR="00560B33">
        <w:rPr>
          <w:rFonts w:ascii="Verdana" w:hAnsi="Verdana"/>
          <w:sz w:val="18"/>
          <w:szCs w:val="18"/>
        </w:rPr>
        <w:t>…………..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  <w:r w:rsidR="00C157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850E2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</w:t>
      </w:r>
      <w:r w:rsidR="00A850E2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E20C6A" w:rsidRPr="00AB1E8B" w:rsidRDefault="00E20C6A" w:rsidP="00E20C6A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E20C6A" w:rsidRPr="00823000" w:rsidRDefault="00E20C6A" w:rsidP="00E20C6A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architektonicznej:</w:t>
      </w:r>
    </w:p>
    <w:p w:rsidR="00E20C6A" w:rsidRPr="002C5EBC" w:rsidRDefault="00E20C6A" w:rsidP="00E20C6A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E20C6A" w:rsidRPr="002C5EBC" w:rsidRDefault="00E20C6A" w:rsidP="00E20C6A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E20C6A" w:rsidRPr="002C5EBC" w:rsidRDefault="00E20C6A" w:rsidP="00E20C6A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E20C6A" w:rsidRPr="002C5EBC" w:rsidRDefault="00E20C6A" w:rsidP="00E20C6A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>3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>100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E20C6A" w:rsidRPr="002C5EBC" w:rsidRDefault="00E20C6A" w:rsidP="00E20C6A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E20C6A" w:rsidRDefault="00E20C6A" w:rsidP="00E20C6A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cyfrowej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</w:t>
      </w:r>
    </w:p>
    <w:p w:rsidR="00E20C6A" w:rsidRPr="00AB1E8B" w:rsidRDefault="00E20C6A" w:rsidP="00E20C6A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4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E20C6A" w:rsidRPr="00AB1E8B" w:rsidRDefault="00E20C6A" w:rsidP="00E20C6A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informacyjno-komunikacyjnej:</w:t>
      </w:r>
    </w:p>
    <w:p w:rsidR="00E20C6A" w:rsidRPr="002C5EBC" w:rsidRDefault="00E20C6A" w:rsidP="00E20C6A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9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proofErr w:type="spellStart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. Dz. U. z 20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23 </w:t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r. 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br/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poz. 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>20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E20C6A" w:rsidRPr="002C5EBC" w:rsidRDefault="00E20C6A" w:rsidP="00E20C6A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E20C6A" w:rsidRPr="002C5EBC" w:rsidRDefault="00E20C6A" w:rsidP="00E20C6A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E20C6A" w:rsidRPr="002C5EBC" w:rsidRDefault="00E20C6A" w:rsidP="00E20C6A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2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E20C6A" w:rsidRPr="002C5EBC" w:rsidRDefault="00E20C6A" w:rsidP="00E20C6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E20C6A" w:rsidRPr="002C5EBC" w:rsidRDefault="00E20C6A" w:rsidP="00E20C6A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E20C6A" w:rsidRPr="004E1A12" w:rsidRDefault="00E20C6A" w:rsidP="00E20C6A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E20C6A" w:rsidRDefault="00E20C6A" w:rsidP="00E20C6A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E20C6A" w:rsidRPr="002C5EBC" w:rsidRDefault="00E20C6A" w:rsidP="00E20C6A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0A2754" w:rsidRPr="002C5EBC" w:rsidRDefault="00E20C6A" w:rsidP="00E20C6A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D3" w:rsidRDefault="004505D3" w:rsidP="000A2754">
      <w:pPr>
        <w:spacing w:after="0" w:line="240" w:lineRule="auto"/>
      </w:pPr>
      <w:r>
        <w:separator/>
      </w:r>
    </w:p>
  </w:endnote>
  <w:endnote w:type="continuationSeparator" w:id="0">
    <w:p w:rsidR="004505D3" w:rsidRDefault="004505D3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4505D3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7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4505D3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D3" w:rsidRDefault="004505D3" w:rsidP="000A2754">
      <w:pPr>
        <w:spacing w:after="0" w:line="240" w:lineRule="auto"/>
      </w:pPr>
      <w:r>
        <w:separator/>
      </w:r>
    </w:p>
  </w:footnote>
  <w:footnote w:type="continuationSeparator" w:id="0">
    <w:p w:rsidR="004505D3" w:rsidRDefault="004505D3" w:rsidP="000A2754">
      <w:pPr>
        <w:spacing w:after="0" w:line="240" w:lineRule="auto"/>
      </w:pPr>
      <w:r>
        <w:continuationSeparator/>
      </w:r>
    </w:p>
  </w:footnote>
  <w:footnote w:id="1">
    <w:p w:rsidR="00C1579B" w:rsidRPr="00C1579B" w:rsidRDefault="00C1579B">
      <w:pPr>
        <w:pStyle w:val="Tekstprzypisudolnego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C1579B">
        <w:rPr>
          <w:rFonts w:ascii="Verdana" w:hAnsi="Verdana" w:cs="Verdana"/>
          <w:i/>
          <w:sz w:val="18"/>
          <w:szCs w:val="18"/>
        </w:rPr>
        <w:t>Oświadczenie Zleceniobiorcy</w:t>
      </w:r>
      <w:r w:rsidRPr="00C1579B">
        <w:rPr>
          <w:rFonts w:ascii="Verdana" w:hAnsi="Verdana" w:cs="Verdana"/>
          <w:sz w:val="18"/>
          <w:szCs w:val="18"/>
        </w:rPr>
        <w:t xml:space="preserve"> należy dołączyć do sprawozdania z realizacji zadania</w:t>
      </w:r>
    </w:p>
  </w:footnote>
  <w:footnote w:id="2">
    <w:p w:rsidR="00E20C6A" w:rsidRDefault="00E20C6A" w:rsidP="00E20C6A">
      <w:pPr>
        <w:pStyle w:val="Tekstprzypisudolnego"/>
      </w:pPr>
      <w:r w:rsidRPr="00C1579B">
        <w:rPr>
          <w:rStyle w:val="Odwoanieprzypisudolnego"/>
          <w:rFonts w:ascii="Verdana" w:hAnsi="Verdana"/>
          <w:sz w:val="18"/>
          <w:szCs w:val="18"/>
        </w:rPr>
        <w:footnoteRef/>
      </w:r>
      <w:r w:rsidRPr="00C1579B">
        <w:rPr>
          <w:rFonts w:ascii="Verdana" w:hAnsi="Verdana"/>
          <w:sz w:val="18"/>
          <w:szCs w:val="18"/>
        </w:rP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76AFB"/>
    <w:rsid w:val="000A2754"/>
    <w:rsid w:val="000E3F1B"/>
    <w:rsid w:val="00163BC1"/>
    <w:rsid w:val="001A1B83"/>
    <w:rsid w:val="00264D8B"/>
    <w:rsid w:val="002C4EA1"/>
    <w:rsid w:val="002C5EBC"/>
    <w:rsid w:val="00386B5C"/>
    <w:rsid w:val="003E2DE4"/>
    <w:rsid w:val="004505D3"/>
    <w:rsid w:val="004719DD"/>
    <w:rsid w:val="004E1A12"/>
    <w:rsid w:val="00560B33"/>
    <w:rsid w:val="00614A4E"/>
    <w:rsid w:val="00695577"/>
    <w:rsid w:val="006972CE"/>
    <w:rsid w:val="00795A2B"/>
    <w:rsid w:val="008C1D30"/>
    <w:rsid w:val="008F5067"/>
    <w:rsid w:val="009F3F51"/>
    <w:rsid w:val="009F55F7"/>
    <w:rsid w:val="00A06E5C"/>
    <w:rsid w:val="00A850E2"/>
    <w:rsid w:val="00AB1E8B"/>
    <w:rsid w:val="00B401E4"/>
    <w:rsid w:val="00C1579B"/>
    <w:rsid w:val="00C85D49"/>
    <w:rsid w:val="00D572E8"/>
    <w:rsid w:val="00D728A9"/>
    <w:rsid w:val="00D909A6"/>
    <w:rsid w:val="00DE793D"/>
    <w:rsid w:val="00E20C6A"/>
    <w:rsid w:val="00E7798E"/>
    <w:rsid w:val="00EC2ACC"/>
    <w:rsid w:val="00EF5937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030E-6889-43C2-A321-690C195E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7</cp:revision>
  <cp:lastPrinted>2023-03-02T15:55:00Z</cp:lastPrinted>
  <dcterms:created xsi:type="dcterms:W3CDTF">2022-03-03T11:48:00Z</dcterms:created>
  <dcterms:modified xsi:type="dcterms:W3CDTF">2023-05-12T12:09:00Z</dcterms:modified>
</cp:coreProperties>
</file>